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март</w:t>
      </w:r>
      <w:r>
        <w:rPr>
          <w:b/>
          <w:bCs/>
        </w:rPr>
        <w:t xml:space="preserve"> 2014года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 xml:space="preserve">Количество заключенных договоров за период: </w:t>
      </w:r>
      <w:r>
        <w:rPr>
          <w:b w:val="false"/>
          <w:bCs w:val="false"/>
          <w:lang w:val="en-US"/>
        </w:rPr>
        <w:t>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 xml:space="preserve">Российский рубль: </w:t>
      </w:r>
      <w:r>
        <w:rPr>
          <w:b w:val="false"/>
          <w:bCs w:val="false"/>
          <w:lang w:val="en-US"/>
        </w:rPr>
        <w:t>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